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D4" w:rsidRPr="005C100B" w:rsidRDefault="001435D4" w:rsidP="001435D4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Pr="005C100B">
        <w:rPr>
          <w:rFonts w:eastAsia="Calibri"/>
          <w:b/>
          <w:bCs/>
          <w:spacing w:val="30"/>
          <w:sz w:val="20"/>
          <w:szCs w:val="20"/>
        </w:rPr>
        <w:t>RTA PRZEDMIOTU (SYLABUS)- WZÓR II</w:t>
      </w:r>
    </w:p>
    <w:p w:rsidR="001435D4" w:rsidRPr="005C100B" w:rsidRDefault="001435D4" w:rsidP="001435D4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435D4" w:rsidRPr="005C100B" w:rsidRDefault="001435D4" w:rsidP="00880BD1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07159A" w:rsidRDefault="00902E70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Dydaktyka nauczania języka angielskiego dla II etapu edukacyjnego</w:t>
            </w:r>
          </w:p>
        </w:tc>
      </w:tr>
      <w:tr w:rsidR="001435D4" w:rsidRPr="00FB7558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902E70" w:rsidRDefault="00902E70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WFP/FA/ST/C/3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435D4" w:rsidRPr="00902E70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663093" w:rsidRDefault="007A5605" w:rsidP="00880BD1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sz w:val="20"/>
                <w:szCs w:val="20"/>
                <w:lang w:val="en-GB" w:eastAsia="en-US"/>
              </w:rPr>
              <w:t>Methodology of Teaching a Fo</w:t>
            </w:r>
            <w:r w:rsidR="00BC4B57">
              <w:rPr>
                <w:rFonts w:eastAsia="Calibri"/>
                <w:sz w:val="20"/>
                <w:szCs w:val="20"/>
                <w:lang w:val="en-GB" w:eastAsia="en-US"/>
              </w:rPr>
              <w:t>reign Language to Primary School Students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902E70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angieslki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FB7558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2020</w:t>
            </w:r>
            <w:r w:rsidR="001435D4">
              <w:rPr>
                <w:rFonts w:eastAsia="Calibri"/>
                <w:i/>
                <w:sz w:val="20"/>
                <w:szCs w:val="20"/>
                <w:lang w:eastAsia="en-US"/>
              </w:rPr>
              <w:t>/20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21</w:t>
            </w: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902E70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Filologia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D17781" w:rsidRDefault="00F77248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Filologia angiels</w:t>
            </w:r>
            <w:r w:rsidR="00902E70">
              <w:rPr>
                <w:rFonts w:eastAsia="Calibri"/>
                <w:i/>
                <w:sz w:val="20"/>
                <w:szCs w:val="20"/>
                <w:lang w:eastAsia="en-US"/>
              </w:rPr>
              <w:t>ka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II stopnia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6319A8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63093">
              <w:rPr>
                <w:rFonts w:eastAsia="Calibri"/>
                <w:i/>
                <w:sz w:val="20"/>
                <w:szCs w:val="20"/>
                <w:lang w:eastAsia="en-US"/>
              </w:rPr>
              <w:t>praktyczny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764D4B" w:rsidRDefault="00902E70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II,III,IV</w:t>
            </w: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675D0A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C1C. Grupa zajęć z zakresu Nauczycielski - zajęcia obowiązkowe   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2A7004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A7004"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757027" w:rsidRDefault="00757027" w:rsidP="0075702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7027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675D0A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… 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757027" w:rsidP="00757027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językozna</w:t>
            </w:r>
            <w:r w:rsidR="00F7724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1435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ind w:left="207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C4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Tradycyjna – zajęcia zorganizowane w Uczelni; Inne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AC4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 blended learning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autoSpaceDE w:val="0"/>
              <w:autoSpaceDN w:val="0"/>
              <w:adjustRightInd w:val="0"/>
              <w:ind w:left="66"/>
              <w:rPr>
                <w:rFonts w:asciiTheme="minorHAnsi" w:eastAsia="Calibri" w:hAnsiTheme="minorHAnsi" w:cstheme="minorHAnsi"/>
                <w:sz w:val="20"/>
                <w:szCs w:val="18"/>
                <w:lang w:eastAsia="en-US"/>
              </w:rPr>
            </w:pPr>
            <w:r w:rsidRPr="00C16805">
              <w:rPr>
                <w:rFonts w:asciiTheme="minorHAnsi" w:hAnsiTheme="minorHAnsi" w:cstheme="minorHAnsi"/>
                <w:sz w:val="20"/>
                <w:szCs w:val="18"/>
              </w:rPr>
              <w:t>Wydział Filologiczno-Pedagogiczny</w:t>
            </w:r>
            <w:r w:rsidRPr="00C16805">
              <w:rPr>
                <w:rFonts w:asciiTheme="minorHAnsi" w:eastAsia="Calibri" w:hAnsiTheme="minorHAnsi" w:cstheme="minorHAnsi"/>
                <w:sz w:val="20"/>
                <w:szCs w:val="18"/>
                <w:lang w:eastAsia="en-US"/>
              </w:rPr>
              <w:t xml:space="preserve">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757027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dr Karolina Ditrych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757027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dr Karoli</w:t>
            </w:r>
            <w:r w:rsidR="001B01E2">
              <w:rPr>
                <w:rFonts w:asciiTheme="minorHAnsi" w:hAnsiTheme="minorHAnsi" w:cstheme="minorHAnsi"/>
                <w:sz w:val="20"/>
                <w:szCs w:val="18"/>
              </w:rPr>
              <w:t>na Ditrych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7531BD" w:rsidRDefault="007531BD" w:rsidP="00880BD1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7531BD">
              <w:rPr>
                <w:rFonts w:ascii="Verdana" w:hAnsi="Verdana"/>
                <w:sz w:val="16"/>
              </w:rPr>
              <w:t>Adres wydziałowej strony internetowej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1435D4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 w:rsidRPr="001F4C67">
              <w:rPr>
                <w:rFonts w:asciiTheme="minorHAnsi" w:hAnsiTheme="minorHAnsi" w:cstheme="minorHAnsi"/>
                <w:sz w:val="20"/>
                <w:szCs w:val="18"/>
              </w:rPr>
              <w:t>www.wfp.uniwersytetradom.pl</w:t>
            </w:r>
          </w:p>
        </w:tc>
      </w:tr>
      <w:tr w:rsidR="001435D4" w:rsidRPr="00F704E3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A95930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hyperlink r:id="rId5" w:history="1">
              <w:r w:rsidR="007531BD" w:rsidRPr="00372337">
                <w:rPr>
                  <w:rStyle w:val="Hipercze"/>
                  <w:sz w:val="18"/>
                  <w:szCs w:val="18"/>
                  <w:lang w:val="en-GB"/>
                </w:rPr>
                <w:t>k.ditrych@uthrad.pl</w:t>
              </w:r>
            </w:hyperlink>
            <w:r w:rsidR="007531BD" w:rsidRPr="00372337">
              <w:rPr>
                <w:sz w:val="18"/>
                <w:szCs w:val="18"/>
                <w:lang w:val="en-GB"/>
              </w:rPr>
              <w:t>, tel. (48)3617360</w:t>
            </w:r>
          </w:p>
        </w:tc>
      </w:tr>
    </w:tbl>
    <w:p w:rsidR="001435D4" w:rsidRPr="00D91F1E" w:rsidRDefault="001435D4" w:rsidP="001435D4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1435D4" w:rsidRPr="00D91F1E" w:rsidRDefault="001435D4" w:rsidP="001435D4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D91F1E">
        <w:rPr>
          <w:rFonts w:eastAsia="Calibri"/>
          <w:b/>
          <w:bCs/>
          <w:sz w:val="20"/>
          <w:szCs w:val="20"/>
        </w:rPr>
        <w:br w:type="page"/>
      </w:r>
    </w:p>
    <w:p w:rsidR="001435D4" w:rsidRPr="005C100B" w:rsidRDefault="001435D4" w:rsidP="001435D4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3C6" w:rsidRDefault="0059259A" w:rsidP="0059259A">
            <w:pPr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1.</w:t>
            </w:r>
            <w:r w:rsidR="001435D4" w:rsidRPr="00B62CB5">
              <w:rPr>
                <w:rFonts w:ascii="Verdana" w:eastAsia="Calibri" w:hAnsi="Verdana"/>
                <w:sz w:val="16"/>
                <w:szCs w:val="16"/>
              </w:rPr>
              <w:t>Kształtowanie u studentów poprawnego, wieloaspektowego i głębokiego rozumienia pojęć niezbędnych do realizacji podstawy p</w:t>
            </w:r>
            <w:r w:rsidR="007531BD">
              <w:rPr>
                <w:rFonts w:ascii="Verdana" w:eastAsia="Calibri" w:hAnsi="Verdana"/>
                <w:sz w:val="16"/>
                <w:szCs w:val="16"/>
              </w:rPr>
              <w:t>rogramowej dla I</w:t>
            </w:r>
            <w:r w:rsidR="001435D4" w:rsidRPr="00B62CB5">
              <w:rPr>
                <w:rFonts w:ascii="Verdana" w:eastAsia="Calibri" w:hAnsi="Verdana"/>
                <w:sz w:val="16"/>
                <w:szCs w:val="16"/>
              </w:rPr>
              <w:t>I etapu e</w:t>
            </w:r>
            <w:r w:rsidR="006813C6">
              <w:rPr>
                <w:rFonts w:ascii="Verdana" w:eastAsia="Calibri" w:hAnsi="Verdana"/>
                <w:sz w:val="16"/>
                <w:szCs w:val="16"/>
              </w:rPr>
              <w:t>dukacyjnego w zakresie nauczania języka obcego;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  <w:r w:rsidR="00E71B23">
              <w:rPr>
                <w:rFonts w:ascii="Verdana" w:hAnsi="Verdana"/>
                <w:sz w:val="16"/>
                <w:szCs w:val="16"/>
              </w:rPr>
              <w:t>Zapoznanie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studentów z wybranymi zagadnieniami dotyczącymi metod i technik nauczania </w:t>
            </w:r>
            <w:r w:rsidR="007531BD">
              <w:rPr>
                <w:rFonts w:ascii="Verdana" w:hAnsi="Verdana"/>
                <w:sz w:val="16"/>
                <w:szCs w:val="16"/>
              </w:rPr>
              <w:t>na II etapie edukacyjnym</w:t>
            </w:r>
            <w:r w:rsidR="00E71B23">
              <w:rPr>
                <w:rFonts w:ascii="Verdana" w:hAnsi="Verdana"/>
                <w:sz w:val="16"/>
                <w:szCs w:val="16"/>
              </w:rPr>
              <w:t>;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  <w:r w:rsidR="00E71B23">
              <w:rPr>
                <w:rFonts w:ascii="Verdana" w:hAnsi="Verdana"/>
                <w:sz w:val="16"/>
                <w:szCs w:val="16"/>
              </w:rPr>
              <w:t>Zapoznanie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studentów ze </w:t>
            </w:r>
            <w:r w:rsidR="00E71B23">
              <w:rPr>
                <w:rFonts w:ascii="Verdana" w:hAnsi="Verdana"/>
                <w:sz w:val="16"/>
                <w:szCs w:val="16"/>
              </w:rPr>
              <w:t xml:space="preserve">sposobami oceniania uczniów, ze zwróceniem uwagi na ocenianie kształtujące; 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  <w:r w:rsidR="00E71B23">
              <w:rPr>
                <w:rFonts w:ascii="Verdana" w:hAnsi="Verdana"/>
                <w:sz w:val="16"/>
                <w:szCs w:val="16"/>
              </w:rPr>
              <w:t>Nauczanie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umiejętności odnoszenia wiedzy teoretycznej do praktyki dotyczącej na</w:t>
            </w:r>
            <w:r w:rsidR="007531BD">
              <w:rPr>
                <w:rFonts w:ascii="Verdana" w:hAnsi="Verdana"/>
                <w:sz w:val="16"/>
                <w:szCs w:val="16"/>
              </w:rPr>
              <w:t>uczania języka obcego na II etapie edukacyjnym</w:t>
            </w:r>
            <w:r w:rsidRPr="0059259A">
              <w:rPr>
                <w:rFonts w:ascii="Verdana" w:hAnsi="Verdana"/>
                <w:sz w:val="16"/>
                <w:szCs w:val="16"/>
              </w:rPr>
              <w:t>.</w:t>
            </w:r>
          </w:p>
          <w:p w:rsidR="001435D4" w:rsidRPr="00E71B23" w:rsidRDefault="0059259A" w:rsidP="00E71B23">
            <w:pPr>
              <w:pStyle w:val="Bezodstpw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  <w:r w:rsidR="001435D4" w:rsidRPr="00B62CB5">
              <w:rPr>
                <w:rFonts w:ascii="Verdana" w:hAnsi="Verdana"/>
                <w:sz w:val="16"/>
                <w:szCs w:val="16"/>
              </w:rPr>
              <w:t>Kształtowanie u studentów pozytywnej motywacji i aktywnej oraz twórczej p</w:t>
            </w:r>
            <w:r w:rsidR="007531BD">
              <w:rPr>
                <w:rFonts w:ascii="Verdana" w:hAnsi="Verdana"/>
                <w:sz w:val="16"/>
                <w:szCs w:val="16"/>
              </w:rPr>
              <w:t>ostawy w uczeniu się języka angielskiego.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31BD" w:rsidRPr="00335644" w:rsidRDefault="007531BD" w:rsidP="007531BD">
            <w:pPr>
              <w:rPr>
                <w:rFonts w:ascii="Verdana" w:eastAsia="Calibri" w:hAnsi="Verdana"/>
                <w:b/>
                <w:sz w:val="16"/>
                <w:szCs w:val="16"/>
              </w:rPr>
            </w:pPr>
            <w:r w:rsidRPr="00335644">
              <w:rPr>
                <w:rFonts w:ascii="Verdana" w:eastAsia="Calibri" w:hAnsi="Verdana"/>
                <w:b/>
                <w:sz w:val="16"/>
                <w:szCs w:val="16"/>
              </w:rPr>
              <w:t>Ćwiczenia</w:t>
            </w:r>
          </w:p>
          <w:p w:rsidR="001435D4" w:rsidRDefault="001435D4" w:rsidP="00880BD1">
            <w:pPr>
              <w:rPr>
                <w:rFonts w:ascii="Verdana" w:eastAsia="Calibri" w:hAnsi="Verdana"/>
                <w:b/>
                <w:sz w:val="16"/>
                <w:szCs w:val="16"/>
                <w:lang w:val="en-US"/>
              </w:rPr>
            </w:pPr>
          </w:p>
          <w:p w:rsidR="00335644" w:rsidRPr="007531BD" w:rsidRDefault="00E71B23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E71B23">
              <w:rPr>
                <w:rFonts w:ascii="Verdana" w:eastAsia="Calibri" w:hAnsi="Verdana"/>
                <w:sz w:val="16"/>
                <w:szCs w:val="16"/>
              </w:rPr>
              <w:t>Analiza podstawy programowej dla I</w:t>
            </w:r>
            <w:r w:rsidR="007531BD">
              <w:rPr>
                <w:rFonts w:ascii="Verdana" w:eastAsia="Calibri" w:hAnsi="Verdana"/>
                <w:sz w:val="16"/>
                <w:szCs w:val="16"/>
              </w:rPr>
              <w:t>I</w:t>
            </w:r>
            <w:r w:rsidRPr="00E71B23">
              <w:rPr>
                <w:rFonts w:ascii="Verdana" w:eastAsia="Calibri" w:hAnsi="Verdana"/>
                <w:sz w:val="16"/>
                <w:szCs w:val="16"/>
              </w:rPr>
              <w:t xml:space="preserve"> etapu edukacyjnego w zakresie języka obcego. </w:t>
            </w:r>
          </w:p>
          <w:p w:rsidR="00335644" w:rsidRPr="00335644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335644" w:rsidRPr="00335644">
              <w:rPr>
                <w:rFonts w:ascii="Verdana" w:hAnsi="Verdana"/>
                <w:sz w:val="16"/>
                <w:szCs w:val="16"/>
              </w:rPr>
              <w:t>rocesy akwizycji języka obcego u dzieci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335644" w:rsidRP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Podejścia, techniki i sposoby pracy w nauczaniu dzieci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i młodzieży</w:t>
            </w:r>
            <w:r>
              <w:rPr>
                <w:rFonts w:ascii="Verdana" w:hAnsi="Verdana"/>
                <w:sz w:val="16"/>
                <w:szCs w:val="16"/>
              </w:rPr>
              <w:t>: wykorzystanie gier, zabaw, piosenek,</w:t>
            </w:r>
            <w:r w:rsidR="009A600E">
              <w:rPr>
                <w:rFonts w:ascii="Verdana" w:hAnsi="Verdana"/>
                <w:sz w:val="16"/>
                <w:szCs w:val="16"/>
              </w:rPr>
              <w:t xml:space="preserve"> teatru i dramy,</w:t>
            </w:r>
            <w:r>
              <w:rPr>
                <w:rFonts w:ascii="Verdana" w:hAnsi="Verdana"/>
                <w:sz w:val="16"/>
                <w:szCs w:val="16"/>
              </w:rPr>
              <w:t xml:space="preserve"> materiałów wizualnych, zasobów Internetu i platform edukacyjnych w naucz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aniu języka obcego. </w:t>
            </w:r>
          </w:p>
          <w:p w:rsidR="00335644" w:rsidRP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Zasady planow</w:t>
            </w:r>
            <w:r w:rsidR="007531BD">
              <w:rPr>
                <w:rFonts w:ascii="Verdana" w:hAnsi="Verdana"/>
                <w:sz w:val="16"/>
                <w:szCs w:val="16"/>
              </w:rPr>
              <w:t>ania lekcji dla II etapu edukacyjnego.</w:t>
            </w:r>
          </w:p>
          <w:p w:rsid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Zarządzanie grupami dzieci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i młodzieży</w:t>
            </w:r>
            <w:r w:rsidRPr="00335644">
              <w:rPr>
                <w:rFonts w:ascii="Verdana" w:hAnsi="Verdana"/>
                <w:sz w:val="16"/>
                <w:szCs w:val="16"/>
              </w:rPr>
              <w:t xml:space="preserve"> (użycie języka rodzimego a obcego na zajęciach języka angielskiego, dawanie instrukcji, demonstrowanie, użycie gestów, głosu i ciała, praca w parach i grupach, radzenie sobie z dyscypliną, wprowadzenie zasad oraz konsekwencja w ich egzekwowaniu, polityka pracy domowej oraz polityka współpracy z rodzicami, itp.)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słownictwa w gr</w:t>
            </w:r>
            <w:r>
              <w:rPr>
                <w:rFonts w:ascii="Verdana" w:hAnsi="Verdana"/>
                <w:sz w:val="16"/>
                <w:szCs w:val="16"/>
              </w:rPr>
              <w:t>upach dziecięcych i młodzieżowych (II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gramatyk</w:t>
            </w:r>
            <w:r>
              <w:rPr>
                <w:rFonts w:ascii="Verdana" w:hAnsi="Verdana"/>
                <w:sz w:val="16"/>
                <w:szCs w:val="16"/>
              </w:rPr>
              <w:t>i w grupach dziecięcych i młodzieżowych (II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 xml:space="preserve">Nauczania pisania </w:t>
            </w:r>
            <w:r>
              <w:rPr>
                <w:rFonts w:ascii="Verdana" w:hAnsi="Verdana"/>
                <w:sz w:val="16"/>
                <w:szCs w:val="16"/>
              </w:rPr>
              <w:t>oraz czytania w grupach (II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mówienia oraz słuchani</w:t>
            </w:r>
            <w:r>
              <w:rPr>
                <w:rFonts w:ascii="Verdana" w:hAnsi="Verdana"/>
                <w:sz w:val="16"/>
                <w:szCs w:val="16"/>
              </w:rPr>
              <w:t>a w grupach dziecięcych i młodzieżowych (II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Planowanie fragmentów oraz całych lekcji (różne cele: rozwijanie podsystemów językowych oraz umiejętności receptywno-dyskursywnych, lekcje zintegrowane, itp.)</w:t>
            </w:r>
          </w:p>
          <w:p w:rsidR="007531BD" w:rsidRPr="00335644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Tworzenie ćwiczeń na platformach edukacyjnych np. KAHOOT.</w:t>
            </w:r>
          </w:p>
          <w:p w:rsidR="00335644" w:rsidRDefault="007531BD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9A600E">
              <w:rPr>
                <w:rFonts w:ascii="Verdana" w:eastAsia="Calibri" w:hAnsi="Verdana"/>
                <w:sz w:val="16"/>
                <w:szCs w:val="16"/>
              </w:rPr>
              <w:t>Narzęd</w:t>
            </w:r>
            <w:r>
              <w:rPr>
                <w:rFonts w:ascii="Verdana" w:eastAsia="Calibri" w:hAnsi="Verdana"/>
                <w:sz w:val="16"/>
                <w:szCs w:val="16"/>
              </w:rPr>
              <w:t>zia TIK w edukacji językowej</w:t>
            </w:r>
            <w:r w:rsidRPr="009A600E">
              <w:rPr>
                <w:rFonts w:ascii="Verdana" w:eastAsia="Calibri" w:hAnsi="Verdana"/>
                <w:sz w:val="16"/>
                <w:szCs w:val="16"/>
              </w:rPr>
              <w:t xml:space="preserve"> i ro</w:t>
            </w:r>
            <w:r>
              <w:rPr>
                <w:rFonts w:ascii="Verdana" w:eastAsia="Calibri" w:hAnsi="Verdana"/>
                <w:sz w:val="16"/>
                <w:szCs w:val="16"/>
              </w:rPr>
              <w:t>zwijania zainteresowań uczniów.</w:t>
            </w:r>
          </w:p>
          <w:p w:rsidR="001435D4" w:rsidRPr="007531BD" w:rsidRDefault="007531BD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9A600E">
              <w:rPr>
                <w:rFonts w:ascii="Verdana" w:eastAsia="Calibri" w:hAnsi="Verdana"/>
                <w:sz w:val="16"/>
                <w:szCs w:val="16"/>
              </w:rPr>
              <w:t>Ewaluacja zajęć.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E16DDE" w:rsidRDefault="007531BD" w:rsidP="00880BD1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Ć</w:t>
            </w:r>
            <w:r w:rsidR="001435D4" w:rsidRPr="00733FD9">
              <w:rPr>
                <w:rFonts w:ascii="Verdana" w:hAnsi="Verdana"/>
                <w:sz w:val="16"/>
                <w:szCs w:val="16"/>
                <w:lang w:eastAsia="en-US"/>
              </w:rPr>
              <w:t>wiczenia metodyczne, podczas których stosowane są różne praktyczne i problemowe metody nauczania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</w:tcPr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 II: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prezentacja multimedialna dotycząca krótkiej charakterystyki wybranej metody dydaktycznej – praca w parach/grupach (50% oceny końcowej)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prezentacja multimedialna dotycząca zaprojektowania kilku autorskich ćwiczeń (jedno z nich wykonane na platformie edukacyjnej np. Kahoot) – praca w parach/grupach (50% oceny końcowej)</w:t>
            </w: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 III: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przygotowanie co najmniej dwóch autorskich scenariuszy lekcji – praca w parach/indywidualna (50% oceny końcowej)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zaliczenie pisemne – test (50% oceny końcowej)</w:t>
            </w:r>
          </w:p>
          <w:p w:rsidR="007531BD" w:rsidRPr="00CB169A" w:rsidRDefault="007531BD" w:rsidP="007531BD">
            <w:pPr>
              <w:pStyle w:val="Akapitzlist"/>
              <w:rPr>
                <w:rFonts w:ascii="Verdana" w:hAnsi="Verdana"/>
                <w:sz w:val="16"/>
              </w:rPr>
            </w:pP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</w:t>
            </w:r>
            <w:r w:rsidR="00CB169A" w:rsidRPr="00CB169A">
              <w:rPr>
                <w:rFonts w:ascii="Verdana" w:hAnsi="Verdana"/>
                <w:sz w:val="16"/>
              </w:rPr>
              <w:t xml:space="preserve"> II-</w:t>
            </w:r>
            <w:r w:rsidRPr="00CB169A">
              <w:rPr>
                <w:rFonts w:ascii="Verdana" w:hAnsi="Verdana"/>
                <w:sz w:val="16"/>
              </w:rPr>
              <w:t xml:space="preserve"> IV:</w:t>
            </w:r>
          </w:p>
          <w:p w:rsidR="001435D4" w:rsidRPr="00041CEE" w:rsidRDefault="007531BD" w:rsidP="007531BD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CB169A">
              <w:rPr>
                <w:rFonts w:ascii="Verdana" w:hAnsi="Verdana"/>
                <w:sz w:val="16"/>
              </w:rPr>
              <w:t xml:space="preserve"> ocena z egzaminu pisemnego, która stanowi 100% końcowej oceny semestralnej; ocena obliczana według skali punktowej: od 60% - 3 (dst), od 75% - 4 (db), od 90% - 5 (bdb)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1435D4" w:rsidRPr="005C100B" w:rsidTr="00880BD1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1435D4" w:rsidRPr="005C100B" w:rsidTr="00880BD1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B93E36" w:rsidRPr="004B6DCA" w:rsidTr="004B7249">
        <w:trPr>
          <w:trHeight w:val="391"/>
          <w:jc w:val="center"/>
        </w:trPr>
        <w:tc>
          <w:tcPr>
            <w:tcW w:w="500" w:type="pct"/>
            <w:shd w:val="clear" w:color="auto" w:fill="auto"/>
            <w:vAlign w:val="center"/>
          </w:tcPr>
          <w:p w:rsidR="00B93E36" w:rsidRPr="00517F45" w:rsidRDefault="00B93E36" w:rsidP="00BA02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W1</w:t>
            </w:r>
          </w:p>
        </w:tc>
        <w:tc>
          <w:tcPr>
            <w:tcW w:w="17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Pr="00B64FC9" w:rsidRDefault="00B93E36" w:rsidP="00BA0294">
            <w:pPr>
              <w:autoSpaceDE w:val="0"/>
              <w:autoSpaceDN w:val="0"/>
              <w:adjustRightInd w:val="0"/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zna i rozumie dogł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ę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bnie specyfik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ę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przedmiotow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i metodologiczn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problematyki filologicznej, jak równie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ż</w:t>
            </w:r>
          </w:p>
          <w:p w:rsidR="00B93E36" w:rsidRPr="00E34A7A" w:rsidRDefault="00B93E36" w:rsidP="00BA0294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terminologi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ę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stosowan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do analizy i opisu zjawisk w odniesieniu do obszaru j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ę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zyka angielskiego;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B93E36" w:rsidRPr="00B64FC9" w:rsidRDefault="00B93E36" w:rsidP="00BA029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K_WG01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B93E36" w:rsidRPr="00517F45" w:rsidRDefault="00B93E36" w:rsidP="00BA02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93E36" w:rsidRPr="00BD68F2" w:rsidRDefault="00B93E36" w:rsidP="00BA029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Default="00B93E36" w:rsidP="00BA029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Zaliczenie pisemne,</w:t>
            </w:r>
          </w:p>
          <w:p w:rsidR="00B93E36" w:rsidRPr="003B6B24" w:rsidRDefault="00B93E36" w:rsidP="00BA029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Zadania ćwiczeniowe</w:t>
            </w:r>
          </w:p>
        </w:tc>
      </w:tr>
      <w:tr w:rsidR="00B93E36" w:rsidRPr="004B6DCA" w:rsidTr="00880BD1">
        <w:trPr>
          <w:jc w:val="center"/>
        </w:trPr>
        <w:tc>
          <w:tcPr>
            <w:tcW w:w="500" w:type="pct"/>
            <w:shd w:val="clear" w:color="auto" w:fill="auto"/>
            <w:vAlign w:val="center"/>
          </w:tcPr>
          <w:p w:rsidR="00B93E36" w:rsidRPr="00517F45" w:rsidRDefault="00B93E36" w:rsidP="00BA02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</w:t>
            </w:r>
            <w:r w:rsidRPr="00517F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75" w:type="pct"/>
            <w:shd w:val="clear" w:color="auto" w:fill="auto"/>
            <w:tcMar>
              <w:left w:w="28" w:type="dxa"/>
              <w:right w:w="28" w:type="dxa"/>
            </w:tcMar>
          </w:tcPr>
          <w:p w:rsidR="00B93E36" w:rsidRPr="001B01E2" w:rsidRDefault="00B93E36" w:rsidP="00BA0294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potrafi zdobywać i użytkować wiedzę z zakresu filologii poprzez wyszukiwanie, analizowanie, wartościowanie</w:t>
            </w:r>
          </w:p>
          <w:p w:rsidR="00B93E36" w:rsidRPr="001B01E2" w:rsidRDefault="00B93E36" w:rsidP="00BA0294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i kategoryzowanie informacji, z wykorzystaniem różnych źródeł (tradycyjnych oraz elektronicznych) i sposobów</w:t>
            </w:r>
          </w:p>
          <w:p w:rsidR="00B93E36" w:rsidRPr="00201A7C" w:rsidRDefault="00B93E36" w:rsidP="00BA0294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w zakresie obranej specjalizacji;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B93E36" w:rsidRPr="00FC1733" w:rsidRDefault="00B93E36" w:rsidP="00BA029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K_UW01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B93E36" w:rsidRDefault="00B93E36" w:rsidP="00BA029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B93E36" w:rsidRPr="00517F45" w:rsidRDefault="00B93E36" w:rsidP="00BA029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93E36" w:rsidRPr="004B6DCA" w:rsidRDefault="00B93E36" w:rsidP="00BA0294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B6DCA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Pr="00517F45" w:rsidRDefault="00B93E36" w:rsidP="00BA029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Zaliczenie pisemne</w:t>
            </w:r>
          </w:p>
          <w:p w:rsidR="00B93E36" w:rsidRPr="00517F45" w:rsidRDefault="00B93E36" w:rsidP="00BA02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Zadania ćwiczeniowe</w:t>
            </w:r>
          </w:p>
        </w:tc>
      </w:tr>
      <w:tr w:rsidR="00B93E36" w:rsidRPr="00BD68F2" w:rsidTr="00182928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Default="00B93E36" w:rsidP="00867A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U2</w:t>
            </w:r>
            <w:bookmarkStart w:id="0" w:name="_GoBack"/>
            <w:bookmarkEnd w:id="0"/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Pr="00867A0B" w:rsidRDefault="00B93E36" w:rsidP="00867A0B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16754F">
              <w:rPr>
                <w:rFonts w:ascii="Verdana" w:eastAsiaTheme="minorHAnsi" w:hAnsi="Verdana"/>
                <w:sz w:val="16"/>
                <w:szCs w:val="16"/>
                <w:lang w:eastAsia="en-US"/>
              </w:rPr>
              <w:t>tworzyć sytuacje wychowawczo-dydaktyczne motywujące uczniów do nauki i pracy nad sobą, analizować ich skuteczność oraz modyfikować działania w celu uzyskania pożądanych efektów wychowania i kształcenia;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Default="00B93E36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16754F">
              <w:rPr>
                <w:rFonts w:ascii="Verdana" w:hAnsi="Verdana"/>
                <w:color w:val="000000" w:themeColor="text1"/>
                <w:sz w:val="16"/>
                <w:szCs w:val="16"/>
              </w:rPr>
              <w:t>K_NauU06</w:t>
            </w:r>
          </w:p>
          <w:p w:rsidR="00B93E36" w:rsidRPr="00A2700E" w:rsidRDefault="00B93E36" w:rsidP="00867A0B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3E36" w:rsidRDefault="00B93E36" w:rsidP="00867A0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B93E36" w:rsidRPr="00517F45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Pr="00BD68F2" w:rsidRDefault="00B93E36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Zaliczenie pisemne.</w:t>
            </w:r>
          </w:p>
          <w:p w:rsidR="00B93E36" w:rsidRPr="00517F45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Zadania ćwiczeniowe</w:t>
            </w:r>
          </w:p>
        </w:tc>
      </w:tr>
      <w:tr w:rsidR="00B93E36" w:rsidRPr="00BD68F2" w:rsidTr="00880BD1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Default="00B93E36" w:rsidP="00867A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K1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93E36" w:rsidRPr="00B64FC9" w:rsidRDefault="00B93E36" w:rsidP="00867A0B">
            <w:pPr>
              <w:rPr>
                <w:rFonts w:ascii="Verdana" w:hAnsi="Verdana"/>
                <w:sz w:val="16"/>
                <w:szCs w:val="16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 xml:space="preserve">budowania relacji opartej na wzajemnym zaufaniu między wszystkimi podmiotami procesu wychowania i kształcenia, w tym rodzicami lub opiekunami ucznia, oraz włączania ich w </w:t>
            </w:r>
            <w:r w:rsidRPr="00B64FC9">
              <w:rPr>
                <w:rFonts w:ascii="Verdana" w:eastAsiaTheme="minorHAnsi" w:hAnsi="Verdana"/>
                <w:sz w:val="16"/>
                <w:szCs w:val="16"/>
              </w:rPr>
              <w:t>działania sprzyjające efektywności edukacyjnej;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Pr="00B64FC9" w:rsidRDefault="00B93E36" w:rsidP="00867A0B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B64FC9">
              <w:rPr>
                <w:rFonts w:ascii="Verdana" w:hAnsi="Verdana"/>
                <w:bCs/>
                <w:sz w:val="16"/>
                <w:szCs w:val="16"/>
              </w:rPr>
              <w:t>K_NauK02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3E36" w:rsidRPr="00517F45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E36" w:rsidRPr="00BD68F2" w:rsidRDefault="00B93E36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3E36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Dyskusja;</w:t>
            </w:r>
          </w:p>
          <w:p w:rsidR="00B93E36" w:rsidRPr="00517F45" w:rsidRDefault="00B93E36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Zadania ćwiczeniowe</w:t>
            </w:r>
          </w:p>
        </w:tc>
      </w:tr>
      <w:tr w:rsidR="00B93E36" w:rsidRPr="005C100B" w:rsidTr="00880BD1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93E36" w:rsidRPr="005C100B" w:rsidRDefault="00B93E36" w:rsidP="00867A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435D4" w:rsidRPr="005C100B" w:rsidRDefault="001435D4" w:rsidP="001435D4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435D4" w:rsidRPr="005C100B" w:rsidTr="00880BD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1435D4" w:rsidRPr="005C100B" w:rsidTr="00880BD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739A" w:rsidRDefault="005E739A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:rsidR="001435D4" w:rsidRPr="005E739A" w:rsidRDefault="001435D4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C4B57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Literatura podstawowa:</w:t>
            </w:r>
          </w:p>
          <w:p w:rsidR="006C38A0" w:rsidRPr="005E739A" w:rsidRDefault="006C38A0" w:rsidP="006C38A0">
            <w:pPr>
              <w:rPr>
                <w:rFonts w:ascii="Verdana" w:hAnsi="Verdana"/>
                <w:sz w:val="16"/>
                <w:lang w:val="en-GB"/>
              </w:rPr>
            </w:pPr>
            <w:r w:rsidRPr="005E739A">
              <w:rPr>
                <w:sz w:val="16"/>
                <w:lang w:val="en-GB"/>
              </w:rPr>
              <w:t>(</w:t>
            </w:r>
            <w:r w:rsidRPr="005E739A">
              <w:rPr>
                <w:rFonts w:ascii="Verdana" w:hAnsi="Verdana"/>
                <w:sz w:val="16"/>
                <w:lang w:val="en-GB"/>
              </w:rPr>
              <w:t xml:space="preserve">1)Hughes, J. (2014) ETpedia - 1000 ideas for English language teachers, Pavilion Publishing and Media Ltd; 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</w:rPr>
              <w:t>(2)Komorowska, H. (2011) Metodyka Nauczania Języków Obcych.Warszawa: Fraszka Edukacyjna;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</w:rPr>
              <w:t>(3)Szpotonowicz, M. i Szulc-Kurpaska, M. (2012) Teaching English to Young Learners, Warszawa; Wydawnictwo Naukowe PWN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  <w:lang w:val="en-GB"/>
              </w:rPr>
              <w:t xml:space="preserve">(4) Dakowska, M. (2007) Teaching English as a Foreign Language. </w:t>
            </w:r>
            <w:r w:rsidRPr="006C38A0">
              <w:rPr>
                <w:rFonts w:ascii="Verdana" w:hAnsi="Verdana"/>
                <w:sz w:val="16"/>
              </w:rPr>
              <w:t>A Guide for Professionals. Warszawa: Wydawnictwo Naukowe PWN</w:t>
            </w:r>
          </w:p>
          <w:p w:rsidR="006C38A0" w:rsidRPr="00882BCE" w:rsidRDefault="006C38A0" w:rsidP="006C38A0">
            <w:p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6C38A0">
              <w:rPr>
                <w:rFonts w:ascii="Verdana" w:hAnsi="Verdana"/>
                <w:sz w:val="16"/>
              </w:rPr>
              <w:t>(5)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 Bogdanowicz Z.: Zabawy dydaktyczne dla przedszkoli, WSiP, Warszawa 2004.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</w:p>
          <w:p w:rsidR="001435D4" w:rsidRPr="006C38A0" w:rsidRDefault="001435D4" w:rsidP="00880BD1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:rsidR="001435D4" w:rsidRPr="006C38A0" w:rsidRDefault="001435D4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E16DDE">
              <w:rPr>
                <w:rFonts w:ascii="Verdana" w:hAnsi="Verdana"/>
                <w:b/>
                <w:sz w:val="16"/>
                <w:szCs w:val="16"/>
                <w:lang w:eastAsia="en-US"/>
              </w:rPr>
              <w:t>Literatura uzupełniająca:</w:t>
            </w:r>
          </w:p>
          <w:p w:rsidR="001435D4" w:rsidRPr="006C38A0" w:rsidRDefault="001435D4" w:rsidP="006C38A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Gruszczyk-Kolczyńska E., Zielińska Ewa: Wspomaganie rozwoju umysłowego trzylatków i dzieci starszych wolniej rozwijających się,  WSiP,  Warszawa 2008. </w:t>
            </w:r>
          </w:p>
          <w:p w:rsidR="001435D4" w:rsidRPr="00882BCE" w:rsidRDefault="001435D4" w:rsidP="001435D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Gruszczyk-Kolczyńska E., Zielińska Ewa: Wspomaganie rozwoju umysłowego czterolatków i pięciolatków,  WSiP,  Warszawa 2009.</w:t>
            </w:r>
          </w:p>
          <w:p w:rsidR="001435D4" w:rsidRPr="00882BCE" w:rsidRDefault="001435D4" w:rsidP="001435D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Klim-Klimaszewska A.: Pedagogika przedszkolna. Nowa podstawa programowa, Inst. Wyd. Erica, Wa-wa 2010.</w:t>
            </w:r>
          </w:p>
          <w:p w:rsidR="00FA4F07" w:rsidRDefault="001435D4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Klus-Stańska D., Nowicka M.: Sensy i bezsensy edukacji wczesnoszkolnej, Wydawnictwa Szkolne i Pedagogiczne, Warszawa 2005.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Burns, A. &amp; Richards, J. C. (Eds.) (2009). Cambridge guide to second language teacher education. New York: Cambridge University Press; 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Christison, M. A. (2005). Multiple intelligences and language learning: A guidebook of theory, activities, inventories, and resources (2nd ed.);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Burlingame, CA: Alta Book Center Publishers;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Gardner, H. (2006). Multiple intelligences: New horizons in theory and practice. Boston:Basic Books; 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Griffiths, C. (Ed.) (2008).Lessons from good language learners; Cambridge:Cambridge University Press;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Harmer, J. (2007). </w:t>
            </w:r>
            <w:r w:rsidRPr="00FA4F07">
              <w:rPr>
                <w:rFonts w:ascii="Verdana" w:hAnsi="Verdana"/>
                <w:color w:val="000000"/>
                <w:sz w:val="16"/>
                <w:lang w:val="en-GB"/>
              </w:rPr>
              <w:t>The practice of English language teaching (4th ed.).Essex.</w:t>
            </w:r>
            <w:r w:rsidRPr="00FA4F07">
              <w:rPr>
                <w:rFonts w:ascii="Verdana" w:hAnsi="Verdana"/>
                <w:sz w:val="16"/>
                <w:lang w:val="en-US"/>
              </w:rPr>
              <w:t xml:space="preserve"> 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sz w:val="16"/>
                <w:szCs w:val="16"/>
                <w:lang w:val="en-US"/>
              </w:rPr>
              <w:t xml:space="preserve"> Larsen-Freeman, D. (2000) Techniques and Principles in Language Teaching. Oxford University Press; 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sz w:val="16"/>
                <w:szCs w:val="16"/>
                <w:lang w:val="en-US"/>
              </w:rPr>
              <w:t xml:space="preserve">Penny Ur, (2002), A course in Language Teaching. </w:t>
            </w:r>
            <w:r w:rsidRPr="00FA4F07">
              <w:rPr>
                <w:rFonts w:ascii="Verdana" w:hAnsi="Verdana"/>
                <w:sz w:val="16"/>
                <w:szCs w:val="16"/>
                <w:lang w:val="en-GB"/>
              </w:rPr>
              <w:t>Cambridge University Press</w:t>
            </w:r>
            <w:r w:rsidRPr="00FA4F07">
              <w:rPr>
                <w:sz w:val="16"/>
                <w:szCs w:val="16"/>
                <w:lang w:val="en-GB"/>
              </w:rPr>
              <w:t>.</w:t>
            </w:r>
          </w:p>
          <w:p w:rsidR="001435D4" w:rsidRPr="00FA4F07" w:rsidRDefault="001435D4" w:rsidP="006C38A0">
            <w:pPr>
              <w:ind w:left="360"/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  <w:p w:rsidR="001435D4" w:rsidRPr="00FA4F07" w:rsidRDefault="001435D4" w:rsidP="00880BD1">
            <w:p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  <w:p w:rsidR="001435D4" w:rsidRPr="00E16DDE" w:rsidRDefault="001435D4" w:rsidP="00880BD1">
            <w:p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E16DDE">
              <w:rPr>
                <w:rFonts w:ascii="Verdana" w:hAnsi="Verdana"/>
                <w:sz w:val="16"/>
                <w:szCs w:val="16"/>
                <w:lang w:eastAsia="en-US"/>
              </w:rPr>
              <w:t xml:space="preserve">Pomoce naukowe: 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rzutnik multimedialny, notebook</w:t>
            </w:r>
            <w:r w:rsidR="006C38A0">
              <w:rPr>
                <w:rFonts w:ascii="Verdana" w:hAnsi="Verdana"/>
                <w:sz w:val="16"/>
                <w:szCs w:val="16"/>
                <w:lang w:eastAsia="en-US"/>
              </w:rPr>
              <w:t>, tablica interaktywna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, zabawki edukacyjne, materiały </w:t>
            </w:r>
            <w:r w:rsidR="006C38A0">
              <w:rPr>
                <w:rFonts w:ascii="Verdana" w:hAnsi="Verdana"/>
                <w:sz w:val="16"/>
                <w:szCs w:val="16"/>
                <w:lang w:eastAsia="en-US"/>
              </w:rPr>
              <w:t>wizualne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1435D4" w:rsidRPr="005C100B" w:rsidTr="00880BD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1435D4" w:rsidRPr="005C100B" w:rsidTr="00880BD1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1435D4" w:rsidRPr="005C100B" w:rsidTr="00880BD1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[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6C38A0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FA4F07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FC7B17">
              <w:rPr>
                <w:rFonts w:eastAsia="Calibri"/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FC7B17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1435D4" w:rsidRPr="00FC7B17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FC7B17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7B1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FC7B17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[h]/</w:t>
            </w:r>
            <w:r>
              <w:rPr>
                <w:rFonts w:ascii="Verdana" w:hAnsi="Verdana"/>
                <w:sz w:val="16"/>
                <w:szCs w:val="16"/>
              </w:rPr>
              <w:t xml:space="preserve"> 0,8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 [h]/ 3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[h]/ 2,4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1435D4" w:rsidRPr="005C100B" w:rsidRDefault="00CB169A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435D4" w:rsidRPr="005C100B" w:rsidTr="00880BD1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1435D4" w:rsidRPr="005C100B" w:rsidTr="00880BD1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435D4" w:rsidRPr="005C100B" w:rsidRDefault="001435D4" w:rsidP="001435D4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8818D8" w:rsidRPr="001435D4" w:rsidRDefault="008818D8"/>
    <w:sectPr w:rsidR="008818D8" w:rsidRPr="001435D4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5B0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07AD1"/>
    <w:multiLevelType w:val="hybridMultilevel"/>
    <w:tmpl w:val="F1E6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E13DD"/>
    <w:multiLevelType w:val="hybridMultilevel"/>
    <w:tmpl w:val="90744B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812F4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243579"/>
    <w:multiLevelType w:val="hybridMultilevel"/>
    <w:tmpl w:val="373EC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A54F7"/>
    <w:multiLevelType w:val="hybridMultilevel"/>
    <w:tmpl w:val="89D8977E"/>
    <w:lvl w:ilvl="0" w:tplc="950EB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3B386F"/>
    <w:multiLevelType w:val="hybridMultilevel"/>
    <w:tmpl w:val="B72EE9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F0F94"/>
    <w:multiLevelType w:val="hybridMultilevel"/>
    <w:tmpl w:val="6E8A1E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12607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17204C"/>
    <w:multiLevelType w:val="hybridMultilevel"/>
    <w:tmpl w:val="747AD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D79CD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435D4"/>
    <w:rsid w:val="00052EB4"/>
    <w:rsid w:val="001435D4"/>
    <w:rsid w:val="0016754F"/>
    <w:rsid w:val="001B01E2"/>
    <w:rsid w:val="00201A7C"/>
    <w:rsid w:val="00244756"/>
    <w:rsid w:val="002A7004"/>
    <w:rsid w:val="002B430E"/>
    <w:rsid w:val="00320977"/>
    <w:rsid w:val="00335644"/>
    <w:rsid w:val="0059259A"/>
    <w:rsid w:val="005E739A"/>
    <w:rsid w:val="00675D0A"/>
    <w:rsid w:val="006813C6"/>
    <w:rsid w:val="006C38A0"/>
    <w:rsid w:val="007531BD"/>
    <w:rsid w:val="00757027"/>
    <w:rsid w:val="00791A34"/>
    <w:rsid w:val="007A5605"/>
    <w:rsid w:val="007B4B99"/>
    <w:rsid w:val="008150C1"/>
    <w:rsid w:val="00867A0B"/>
    <w:rsid w:val="008818D8"/>
    <w:rsid w:val="00902E70"/>
    <w:rsid w:val="0095488C"/>
    <w:rsid w:val="00962307"/>
    <w:rsid w:val="00987FF8"/>
    <w:rsid w:val="009A600E"/>
    <w:rsid w:val="00A2700E"/>
    <w:rsid w:val="00A35BED"/>
    <w:rsid w:val="00A95930"/>
    <w:rsid w:val="00AA3192"/>
    <w:rsid w:val="00B64FC9"/>
    <w:rsid w:val="00B93E36"/>
    <w:rsid w:val="00BC2222"/>
    <w:rsid w:val="00BC4B57"/>
    <w:rsid w:val="00C551D6"/>
    <w:rsid w:val="00C93F38"/>
    <w:rsid w:val="00CB169A"/>
    <w:rsid w:val="00E34A7A"/>
    <w:rsid w:val="00E71B23"/>
    <w:rsid w:val="00EA0B5D"/>
    <w:rsid w:val="00EC4772"/>
    <w:rsid w:val="00F77248"/>
    <w:rsid w:val="00FA4F07"/>
    <w:rsid w:val="00FB7558"/>
    <w:rsid w:val="00FC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4F0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3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Bezodstpw1">
    <w:name w:val="Bez odstępów1"/>
    <w:uiPriority w:val="1"/>
    <w:qFormat/>
    <w:rsid w:val="0059259A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Akapitzlist">
    <w:name w:val="List Paragraph"/>
    <w:basedOn w:val="Normalny"/>
    <w:uiPriority w:val="34"/>
    <w:qFormat/>
    <w:rsid w:val="00E71B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A4F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7531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ditrych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Satelite</dc:creator>
  <cp:lastModifiedBy>Satelite</cp:lastModifiedBy>
  <cp:revision>9</cp:revision>
  <dcterms:created xsi:type="dcterms:W3CDTF">2019-09-29T19:02:00Z</dcterms:created>
  <dcterms:modified xsi:type="dcterms:W3CDTF">2020-06-23T19:18:00Z</dcterms:modified>
</cp:coreProperties>
</file>