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F1583" w14:textId="77777777" w:rsidR="001B33CB" w:rsidRPr="001B33CB" w:rsidRDefault="001B33CB" w:rsidP="001B33CB">
      <w:pPr>
        <w:tabs>
          <w:tab w:val="left" w:pos="174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  <w:r w:rsidRPr="001B33CB"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  <w:t xml:space="preserve">Załącznik nr 3 do umowy </w:t>
      </w:r>
    </w:p>
    <w:p w14:paraId="50D9221F" w14:textId="481583D7" w:rsidR="001B33CB" w:rsidRDefault="001B33CB" w:rsidP="001B33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</w:p>
    <w:p w14:paraId="7C6F98FB" w14:textId="604CD921" w:rsidR="008C73E7" w:rsidRDefault="008C73E7" w:rsidP="001B33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</w:p>
    <w:p w14:paraId="7F32C23E" w14:textId="5952BD02" w:rsidR="008C73E7" w:rsidRDefault="008C73E7" w:rsidP="001B33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</w:p>
    <w:p w14:paraId="5629D290" w14:textId="77777777" w:rsidR="008C73E7" w:rsidRPr="001B33CB" w:rsidRDefault="008C73E7" w:rsidP="001B33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</w:p>
    <w:p w14:paraId="34FEEFCE" w14:textId="77777777" w:rsidR="001B33CB" w:rsidRPr="001B33CB" w:rsidRDefault="001B33CB" w:rsidP="001B3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pl-PL"/>
        </w:rPr>
      </w:pPr>
      <w:r w:rsidRPr="001B33CB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pl-PL"/>
        </w:rPr>
        <w:t>Taryfikator kar za nieprzestrzeganie zasad BHP na budowie</w:t>
      </w:r>
    </w:p>
    <w:p w14:paraId="334284EF" w14:textId="77777777" w:rsidR="001B33CB" w:rsidRPr="001B33CB" w:rsidRDefault="001B33CB" w:rsidP="001B33C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16"/>
          <w:lang w:eastAsia="pl-PL"/>
        </w:rPr>
      </w:pPr>
    </w:p>
    <w:p w14:paraId="19F28929" w14:textId="77777777" w:rsidR="001B33CB" w:rsidRPr="001B33CB" w:rsidRDefault="001B33CB" w:rsidP="001B33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16"/>
          <w:lang w:eastAsia="pl-PL"/>
        </w:rPr>
      </w:pPr>
    </w:p>
    <w:tbl>
      <w:tblPr>
        <w:tblpPr w:leftFromText="141" w:rightFromText="141" w:vertAnchor="page" w:horzAnchor="margin" w:tblpY="34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962"/>
        <w:gridCol w:w="3198"/>
      </w:tblGrid>
      <w:tr w:rsidR="001B33CB" w:rsidRPr="001B33CB" w14:paraId="192CCA96" w14:textId="77777777" w:rsidTr="00BB023A">
        <w:tc>
          <w:tcPr>
            <w:tcW w:w="468" w:type="dxa"/>
            <w:shd w:val="clear" w:color="auto" w:fill="auto"/>
          </w:tcPr>
          <w:p w14:paraId="0884B68D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1</w:t>
            </w:r>
          </w:p>
        </w:tc>
        <w:tc>
          <w:tcPr>
            <w:tcW w:w="6050" w:type="dxa"/>
            <w:shd w:val="clear" w:color="auto" w:fill="auto"/>
          </w:tcPr>
          <w:p w14:paraId="665BEBBA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Używanie lub przechowywanie substancji chemicznych i materiałów w sposób niezgodny z zasadami podanymi w karcie charakterystyki lub brak dostępności kart charakterystyki w miejscu stosowania substancji</w:t>
            </w:r>
          </w:p>
        </w:tc>
        <w:tc>
          <w:tcPr>
            <w:tcW w:w="3260" w:type="dxa"/>
            <w:shd w:val="clear" w:color="auto" w:fill="auto"/>
          </w:tcPr>
          <w:p w14:paraId="6F6F3AB9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64745D5C" w14:textId="77777777" w:rsidTr="00BB023A">
        <w:tc>
          <w:tcPr>
            <w:tcW w:w="468" w:type="dxa"/>
            <w:shd w:val="clear" w:color="auto" w:fill="auto"/>
          </w:tcPr>
          <w:p w14:paraId="6664AE3D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2</w:t>
            </w:r>
          </w:p>
        </w:tc>
        <w:tc>
          <w:tcPr>
            <w:tcW w:w="6050" w:type="dxa"/>
            <w:shd w:val="clear" w:color="auto" w:fill="auto"/>
          </w:tcPr>
          <w:p w14:paraId="3F7D3A85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Używanie niesprawnych przedłużaczy, elektronarzędzi oraz innych maszyn i urządzeń grożące porażeniem prądem elektrycznym, a także nie posiadających świadectw zgodności CE</w:t>
            </w:r>
          </w:p>
        </w:tc>
        <w:tc>
          <w:tcPr>
            <w:tcW w:w="3260" w:type="dxa"/>
            <w:shd w:val="clear" w:color="auto" w:fill="auto"/>
          </w:tcPr>
          <w:p w14:paraId="423ACA6C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715A69AE" w14:textId="77777777" w:rsidTr="00BB023A">
        <w:tc>
          <w:tcPr>
            <w:tcW w:w="468" w:type="dxa"/>
            <w:shd w:val="clear" w:color="auto" w:fill="auto"/>
          </w:tcPr>
          <w:p w14:paraId="5F2E813D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3</w:t>
            </w:r>
          </w:p>
        </w:tc>
        <w:tc>
          <w:tcPr>
            <w:tcW w:w="6050" w:type="dxa"/>
            <w:shd w:val="clear" w:color="auto" w:fill="auto"/>
          </w:tcPr>
          <w:p w14:paraId="1620F3CE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Niestosowania środków ochrony indywidualnej, określonych w planie BIOZ</w:t>
            </w:r>
          </w:p>
        </w:tc>
        <w:tc>
          <w:tcPr>
            <w:tcW w:w="3260" w:type="dxa"/>
            <w:shd w:val="clear" w:color="auto" w:fill="auto"/>
          </w:tcPr>
          <w:p w14:paraId="0935D5DE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60134843" w14:textId="77777777" w:rsidTr="00BB023A">
        <w:tc>
          <w:tcPr>
            <w:tcW w:w="468" w:type="dxa"/>
            <w:shd w:val="clear" w:color="auto" w:fill="auto"/>
          </w:tcPr>
          <w:p w14:paraId="349535B8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4</w:t>
            </w:r>
          </w:p>
        </w:tc>
        <w:tc>
          <w:tcPr>
            <w:tcW w:w="6050" w:type="dxa"/>
            <w:shd w:val="clear" w:color="auto" w:fill="auto"/>
          </w:tcPr>
          <w:p w14:paraId="5B3A90E9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Używanie niesprawnego bądź niekompletnego sprzętu do prac na wysokości (drabiny, rusztowania, podest, środków ochrony indywidualnej)</w:t>
            </w:r>
          </w:p>
        </w:tc>
        <w:tc>
          <w:tcPr>
            <w:tcW w:w="3260" w:type="dxa"/>
            <w:shd w:val="clear" w:color="auto" w:fill="auto"/>
          </w:tcPr>
          <w:p w14:paraId="70D615E8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55C3433A" w14:textId="77777777" w:rsidTr="00BB023A">
        <w:tc>
          <w:tcPr>
            <w:tcW w:w="468" w:type="dxa"/>
            <w:shd w:val="clear" w:color="auto" w:fill="auto"/>
          </w:tcPr>
          <w:p w14:paraId="5EC80A3B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5</w:t>
            </w:r>
          </w:p>
        </w:tc>
        <w:tc>
          <w:tcPr>
            <w:tcW w:w="6050" w:type="dxa"/>
            <w:shd w:val="clear" w:color="auto" w:fill="auto"/>
          </w:tcPr>
          <w:p w14:paraId="3B3D55BF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Niewłaściwe zabezpieczenie terenu/miejsca prowadzenia prac (np. brak wygrodzenia, brak tablic ostrzegawczych)</w:t>
            </w:r>
          </w:p>
        </w:tc>
        <w:tc>
          <w:tcPr>
            <w:tcW w:w="3260" w:type="dxa"/>
            <w:shd w:val="clear" w:color="auto" w:fill="auto"/>
          </w:tcPr>
          <w:p w14:paraId="3B0F51D6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3183CF2E" w14:textId="77777777" w:rsidTr="00BB023A">
        <w:tc>
          <w:tcPr>
            <w:tcW w:w="468" w:type="dxa"/>
            <w:shd w:val="clear" w:color="auto" w:fill="auto"/>
          </w:tcPr>
          <w:p w14:paraId="3EF6E2A9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6</w:t>
            </w:r>
          </w:p>
        </w:tc>
        <w:tc>
          <w:tcPr>
            <w:tcW w:w="6050" w:type="dxa"/>
            <w:shd w:val="clear" w:color="auto" w:fill="auto"/>
          </w:tcPr>
          <w:p w14:paraId="20623806" w14:textId="0F19B97F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Korzystanie z energii elektrycznej w sposób zagrażający porażeniem prądem lub awarię instalacji elektrycznej U</w:t>
            </w:r>
            <w:r w:rsidR="009626B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R</w:t>
            </w: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 xml:space="preserve"> w Radomiu</w:t>
            </w:r>
          </w:p>
        </w:tc>
        <w:tc>
          <w:tcPr>
            <w:tcW w:w="3260" w:type="dxa"/>
            <w:shd w:val="clear" w:color="auto" w:fill="auto"/>
          </w:tcPr>
          <w:p w14:paraId="730C14B8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500 zł</w:t>
            </w:r>
          </w:p>
        </w:tc>
      </w:tr>
      <w:tr w:rsidR="001B33CB" w:rsidRPr="001B33CB" w14:paraId="6E9CFE3A" w14:textId="77777777" w:rsidTr="00BB023A">
        <w:tc>
          <w:tcPr>
            <w:tcW w:w="468" w:type="dxa"/>
            <w:shd w:val="clear" w:color="auto" w:fill="auto"/>
          </w:tcPr>
          <w:p w14:paraId="28AFE6C3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7</w:t>
            </w:r>
          </w:p>
        </w:tc>
        <w:tc>
          <w:tcPr>
            <w:tcW w:w="6050" w:type="dxa"/>
            <w:shd w:val="clear" w:color="auto" w:fill="auto"/>
          </w:tcPr>
          <w:p w14:paraId="7F349284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Niezachowanie czystości i porządku podczas jak i po wykonaniu prac, szczególnie gdy stanowi to zagrożenie wypadkiem</w:t>
            </w:r>
          </w:p>
        </w:tc>
        <w:tc>
          <w:tcPr>
            <w:tcW w:w="3260" w:type="dxa"/>
            <w:shd w:val="clear" w:color="auto" w:fill="auto"/>
          </w:tcPr>
          <w:p w14:paraId="1EE5BD54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100 zł</w:t>
            </w:r>
          </w:p>
        </w:tc>
      </w:tr>
      <w:tr w:rsidR="001B33CB" w:rsidRPr="001B33CB" w14:paraId="25391391" w14:textId="77777777" w:rsidTr="00BB023A">
        <w:tc>
          <w:tcPr>
            <w:tcW w:w="468" w:type="dxa"/>
            <w:shd w:val="clear" w:color="auto" w:fill="auto"/>
          </w:tcPr>
          <w:p w14:paraId="17D1F88D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8</w:t>
            </w:r>
          </w:p>
        </w:tc>
        <w:tc>
          <w:tcPr>
            <w:tcW w:w="6050" w:type="dxa"/>
            <w:shd w:val="clear" w:color="auto" w:fill="auto"/>
          </w:tcPr>
          <w:p w14:paraId="6D38E7E7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 xml:space="preserve">Złamanie zasad bezpiecznego ruchu pojazdów, parkowania w nie wyznaczonym miejscu bądź nie uzgodnionym miejscu, nieodpowiednie zabezpieczenie pojazdu podczas postoju, nieodpowiednie zabezpieczenie miejsca załadunku/rozładunku materiałów </w:t>
            </w:r>
          </w:p>
        </w:tc>
        <w:tc>
          <w:tcPr>
            <w:tcW w:w="3260" w:type="dxa"/>
            <w:shd w:val="clear" w:color="auto" w:fill="auto"/>
          </w:tcPr>
          <w:p w14:paraId="3B2568FA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200 zł</w:t>
            </w:r>
          </w:p>
        </w:tc>
      </w:tr>
      <w:tr w:rsidR="001B33CB" w:rsidRPr="001B33CB" w14:paraId="7BC43A93" w14:textId="77777777" w:rsidTr="00BB023A">
        <w:tc>
          <w:tcPr>
            <w:tcW w:w="468" w:type="dxa"/>
            <w:shd w:val="clear" w:color="auto" w:fill="auto"/>
          </w:tcPr>
          <w:p w14:paraId="19B065DD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9</w:t>
            </w:r>
          </w:p>
        </w:tc>
        <w:tc>
          <w:tcPr>
            <w:tcW w:w="6050" w:type="dxa"/>
            <w:shd w:val="clear" w:color="auto" w:fill="auto"/>
          </w:tcPr>
          <w:p w14:paraId="1F408E01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Niestosowanie się do poleceń wydawanych przez nadzór Działu Inwestycji, Remontów i Gospodarowania Nieruchomościami</w:t>
            </w:r>
          </w:p>
        </w:tc>
        <w:tc>
          <w:tcPr>
            <w:tcW w:w="3260" w:type="dxa"/>
            <w:shd w:val="clear" w:color="auto" w:fill="auto"/>
          </w:tcPr>
          <w:p w14:paraId="0A94711E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500 zł</w:t>
            </w:r>
          </w:p>
        </w:tc>
      </w:tr>
      <w:tr w:rsidR="001B33CB" w:rsidRPr="001B33CB" w14:paraId="7162A863" w14:textId="77777777" w:rsidTr="00BB023A">
        <w:tc>
          <w:tcPr>
            <w:tcW w:w="468" w:type="dxa"/>
            <w:shd w:val="clear" w:color="auto" w:fill="auto"/>
          </w:tcPr>
          <w:p w14:paraId="32081FD3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10</w:t>
            </w:r>
          </w:p>
        </w:tc>
        <w:tc>
          <w:tcPr>
            <w:tcW w:w="6050" w:type="dxa"/>
            <w:shd w:val="clear" w:color="auto" w:fill="auto"/>
          </w:tcPr>
          <w:p w14:paraId="7CB9B665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 xml:space="preserve">Bark nadzoru nad pracownikami </w:t>
            </w:r>
          </w:p>
        </w:tc>
        <w:tc>
          <w:tcPr>
            <w:tcW w:w="3260" w:type="dxa"/>
            <w:shd w:val="clear" w:color="auto" w:fill="auto"/>
          </w:tcPr>
          <w:p w14:paraId="7B972B3C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300 zł</w:t>
            </w:r>
          </w:p>
        </w:tc>
      </w:tr>
      <w:tr w:rsidR="001B33CB" w:rsidRPr="001B33CB" w14:paraId="6016F5BF" w14:textId="77777777" w:rsidTr="00BB023A">
        <w:tc>
          <w:tcPr>
            <w:tcW w:w="468" w:type="dxa"/>
            <w:shd w:val="clear" w:color="auto" w:fill="auto"/>
          </w:tcPr>
          <w:p w14:paraId="70E2C716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11</w:t>
            </w:r>
          </w:p>
        </w:tc>
        <w:tc>
          <w:tcPr>
            <w:tcW w:w="6050" w:type="dxa"/>
            <w:shd w:val="clear" w:color="auto" w:fill="auto"/>
          </w:tcPr>
          <w:p w14:paraId="46FC9133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Spowodowanie zagrożenia (zdarzenia potencjalnie wypadkowego tj. mogącego skutkować wypadkiem śmiertelnym, zbiorowym lub znacznymi stratami materialnymi – do 10% wartości kontraktu lub zlecenia lub zerwanie kontraktu</w:t>
            </w:r>
          </w:p>
        </w:tc>
        <w:tc>
          <w:tcPr>
            <w:tcW w:w="3260" w:type="dxa"/>
            <w:shd w:val="clear" w:color="auto" w:fill="auto"/>
          </w:tcPr>
          <w:p w14:paraId="625B3541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Do 10%</w:t>
            </w:r>
          </w:p>
        </w:tc>
      </w:tr>
      <w:tr w:rsidR="001B33CB" w:rsidRPr="001B33CB" w14:paraId="0C3AA2AF" w14:textId="77777777" w:rsidTr="00BB023A">
        <w:tc>
          <w:tcPr>
            <w:tcW w:w="468" w:type="dxa"/>
            <w:shd w:val="clear" w:color="auto" w:fill="auto"/>
          </w:tcPr>
          <w:p w14:paraId="6BDE993E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6"/>
                <w:lang w:eastAsia="pl-PL"/>
              </w:rPr>
              <w:t>12</w:t>
            </w:r>
          </w:p>
        </w:tc>
        <w:tc>
          <w:tcPr>
            <w:tcW w:w="6050" w:type="dxa"/>
            <w:shd w:val="clear" w:color="auto" w:fill="auto"/>
          </w:tcPr>
          <w:p w14:paraId="55A9DF33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 xml:space="preserve">Spowodowanie wypadku przy pracy wynikającego z rażących zaniedbań dozoru lub stosowania niewłaściwych bądź niewystarczających środków bezpieczeństwa – do 20 % wartości kontraktu lub zlecenie lub zerwanie kontraktu. </w:t>
            </w:r>
          </w:p>
        </w:tc>
        <w:tc>
          <w:tcPr>
            <w:tcW w:w="3260" w:type="dxa"/>
            <w:shd w:val="clear" w:color="auto" w:fill="auto"/>
          </w:tcPr>
          <w:p w14:paraId="70E49525" w14:textId="77777777" w:rsidR="001B33CB" w:rsidRPr="001B33CB" w:rsidRDefault="001B33CB" w:rsidP="001B33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</w:pPr>
            <w:r w:rsidRPr="001B33CB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pl-PL"/>
              </w:rPr>
              <w:t>Do 20%</w:t>
            </w:r>
          </w:p>
        </w:tc>
      </w:tr>
    </w:tbl>
    <w:p w14:paraId="0C4F1903" w14:textId="77777777" w:rsidR="009A3BDD" w:rsidRPr="008C73E7" w:rsidRDefault="009A3BDD">
      <w:pPr>
        <w:rPr>
          <w:b/>
          <w:bCs/>
        </w:rPr>
      </w:pPr>
    </w:p>
    <w:sectPr w:rsidR="009A3BDD" w:rsidRPr="008C73E7" w:rsidSect="008512AF">
      <w:pgSz w:w="11906" w:h="16838"/>
      <w:pgMar w:top="964" w:right="851" w:bottom="102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C3BD5" w14:textId="77777777" w:rsidR="001B33CB" w:rsidRDefault="001B33CB" w:rsidP="001B33CB">
      <w:pPr>
        <w:spacing w:after="0" w:line="240" w:lineRule="auto"/>
      </w:pPr>
      <w:r>
        <w:separator/>
      </w:r>
    </w:p>
  </w:endnote>
  <w:endnote w:type="continuationSeparator" w:id="0">
    <w:p w14:paraId="7B403D6E" w14:textId="77777777" w:rsidR="001B33CB" w:rsidRDefault="001B33CB" w:rsidP="001B3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114CA" w14:textId="77777777" w:rsidR="001B33CB" w:rsidRDefault="001B33CB" w:rsidP="001B33CB">
      <w:pPr>
        <w:spacing w:after="0" w:line="240" w:lineRule="auto"/>
      </w:pPr>
      <w:r>
        <w:separator/>
      </w:r>
    </w:p>
  </w:footnote>
  <w:footnote w:type="continuationSeparator" w:id="0">
    <w:p w14:paraId="6C0BD8E9" w14:textId="77777777" w:rsidR="001B33CB" w:rsidRDefault="001B33CB" w:rsidP="001B33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30"/>
    <w:rsid w:val="001B33CB"/>
    <w:rsid w:val="007E1A30"/>
    <w:rsid w:val="008C73E7"/>
    <w:rsid w:val="009626BB"/>
    <w:rsid w:val="009A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0EA"/>
  <w15:chartTrackingRefBased/>
  <w15:docId w15:val="{5696FF0C-D91F-4CD0-B518-FD34FE4A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B33C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16"/>
      <w:lang w:eastAsia="pl-PL"/>
    </w:rPr>
  </w:style>
  <w:style w:type="character" w:customStyle="1" w:styleId="NagwekZnak">
    <w:name w:val="Nagłówek Znak"/>
    <w:basedOn w:val="Domylnaczcionkaakapitu"/>
    <w:link w:val="Nagwek"/>
    <w:rsid w:val="001B33CB"/>
    <w:rPr>
      <w:rFonts w:ascii="Times New Roman" w:eastAsia="Times New Roman" w:hAnsi="Times New Roman" w:cs="Times New Roman"/>
      <w:color w:val="000000"/>
      <w:sz w:val="24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B33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4</cp:revision>
  <dcterms:created xsi:type="dcterms:W3CDTF">2026-01-19T12:40:00Z</dcterms:created>
  <dcterms:modified xsi:type="dcterms:W3CDTF">2026-01-19T12:45:00Z</dcterms:modified>
</cp:coreProperties>
</file>